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359" w:type="dxa"/>
        <w:jc w:val="left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2550"/>
        <w:gridCol w:w="6808"/>
      </w:tblGrid>
      <w:tr>
        <w:trPr/>
        <w:tc>
          <w:tcPr>
            <w:tcW w:w="9358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Сводный отчет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 проведении оценки регулирующего воздействия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firstLine="507"/>
              <w:jc w:val="both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1. Наименование проекта муниципального нормативного правового акта Новокузнецкого городского округа (далее - проект акта): </w:t>
            </w:r>
            <w:r>
              <w:rPr>
                <w:rFonts w:ascii="Times New Roman" w:hAnsi="Times New Roman"/>
                <w:color w:themeColor="text1" w:val="000000"/>
                <w:sz w:val="28"/>
                <w:szCs w:val="28"/>
              </w:rPr>
              <w:t>О внесении изменений в постановление администрации города Новокузнецка от 18.04.2014 №61 «Об утверждении схем размещения нестационарных торговых объектов на территории Новокузнецкого городского округа»</w:t>
            </w:r>
          </w:p>
          <w:p>
            <w:pPr>
              <w:pStyle w:val="Normal"/>
              <w:spacing w:lineRule="auto" w:line="240" w:before="0" w:after="0"/>
              <w:ind w:firstLine="5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firstLine="567" w:left="0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 Адрес размещения уведомления о подготовке проекта акта в информационно-телекоммуникационной сети Интернет: на официальном сайте администрации города Новокузнецка в информационно-телекоммуникационной сети Интернет (www.admnkz.info) в подразделе «Оценка регулирующего воздействия» раздела «Документы».</w:t>
            </w:r>
          </w:p>
          <w:p>
            <w:pPr>
              <w:pStyle w:val="Normal"/>
              <w:spacing w:lineRule="auto" w:line="240" w:before="0" w:after="0"/>
              <w:ind w:firstLine="5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358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firstLine="567" w:left="0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 Разработчик проекта акта:</w:t>
            </w:r>
          </w:p>
        </w:tc>
      </w:tr>
      <w:tr>
        <w:trPr/>
        <w:tc>
          <w:tcPr>
            <w:tcW w:w="2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управление потребительского рынка и развития предпринимательства администрации города Новокузнецка</w:t>
            </w:r>
          </w:p>
        </w:tc>
      </w:tr>
      <w:tr>
        <w:trPr/>
        <w:tc>
          <w:tcPr>
            <w:tcW w:w="2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Почтовый адрес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654080, г. Новокузнецк, ул. Кирова, 71, каб. 340</w:t>
            </w:r>
          </w:p>
        </w:tc>
      </w:tr>
      <w:tr>
        <w:trPr/>
        <w:tc>
          <w:tcPr>
            <w:tcW w:w="2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Режим работы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8:30-17:30</w:t>
            </w:r>
          </w:p>
        </w:tc>
      </w:tr>
      <w:tr>
        <w:trPr/>
        <w:tc>
          <w:tcPr>
            <w:tcW w:w="93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 Контакты ответственного лица:</w:t>
            </w:r>
          </w:p>
        </w:tc>
      </w:tr>
      <w:tr>
        <w:trPr/>
        <w:tc>
          <w:tcPr>
            <w:tcW w:w="2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Шиллер Яна Валерьевна</w:t>
            </w:r>
          </w:p>
        </w:tc>
      </w:tr>
      <w:tr>
        <w:trPr/>
        <w:tc>
          <w:tcPr>
            <w:tcW w:w="2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начальник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управление потребительского рынка и развития предпринимательства администрации города Новокузнецка</w:t>
            </w:r>
          </w:p>
        </w:tc>
      </w:tr>
      <w:tr>
        <w:trPr/>
        <w:tc>
          <w:tcPr>
            <w:tcW w:w="2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8(3843)32-17-40</w:t>
            </w:r>
          </w:p>
        </w:tc>
      </w:tr>
      <w:tr>
        <w:trPr/>
        <w:tc>
          <w:tcPr>
            <w:tcW w:w="2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 w:eastAsia="ru-RU"/>
              </w:rPr>
              <w:t>upr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_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 w:eastAsia="ru-RU"/>
              </w:rPr>
              <w:t>torg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@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 w:eastAsia="ru-RU"/>
              </w:rPr>
              <w:t>admnkz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 w:eastAsia="ru-RU"/>
              </w:rPr>
              <w:t>info</w:t>
            </w:r>
          </w:p>
        </w:tc>
      </w:tr>
      <w:tr>
        <w:trPr/>
        <w:tc>
          <w:tcPr>
            <w:tcW w:w="9358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 Степень регулирующего воздействия проекта акта (высокая/средняя/низкая): средняя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6. Описание проблемы, на решение которой направлен предлагаемый способ регулирования: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приведение нормативного правового акта к фактическому состоянию.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6.1. Оценка негативных эффектов, возникающих в связи с наличием рассматриваемой проблемы: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7. Цели предлагаемого регулирования и их соответствие принципам правового регулирования: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актуализация схемы размещения нестационарных торговых объектов.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7.1. Действующие нормативные правовые акты, поручения, другие решения, из которых вытекает необходимость разработки проекта акта в данной области: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Федеральный закон от 06.10.2003 №131-ФЗ «Об общих принципах организации местного самоуправления в Российской Федерации»;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Федеральный закон от 28.12.2009 №381-ФЗ «Об основах государственного регулирования торговой деятельности в Российской Федерации»;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07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Закон Кемеровской области - Кузбасса от 12.12.2022 №139-ОЗ «О регулировании отдельных вопросов в сфере торговой деятельности»;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07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Постановление Коллегии Администрации Кемеровской области от 30.11.2010 №530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 - Кузбасса, без предоставления земельных участков и установления сервитута, публичного сервитута»;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07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Постановление администрации г. Новокузнецка от 13.02.2017 №14 «Об организации работы по разработке и утверждению схемы размещения нестационарных торговых объектов на территории Новокузнецкого городского округа».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 Описание предлагаемого регулирования: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8.1. Описание иных возможных способов решения проблемы: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8.2. Обоснование выбора предлагаемого способа решения проблемы: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8.3. Влияние предлагаемого регулирования на конкурентную среду в отрасли: отсутствует.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 Основные группы субъектов предпринимательской и иной экономической деятельности, иные заинтересованные лица, интересы которых будут затронуты предлагаемым правовым регулированием: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субъекты малого или среднего предпринимательства, осуществляющие торговую деятельность (далее –СМСП), физические лица, не являющиеся индивидуальными предпринимателями и принимающие специальный налоговый режим «налог на профессиональный доход» (далее – самозанятые граждане).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9.1. Оценка количества таких субъектов: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 территории города Новокузнецка 17 830  СМСП, 54 918 – самозанятые граждане.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10. Новые функции, полномочия, обязанности и права органов местного самоуправления или сведения об их изменении, а также порядок их реализации: новых функций, полномочий, обязанностей и прав не возникает.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11. Оценка соответствующих расходов (возможных поступлений) бюджета Новокузнецкого городского округа: отсутствует.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12. Новые или изменяющие ранее предусмотренные обязанности для субъектов предпринимательской и иной экономической деятельности, а также порядок организации их исполнения: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13. Оценка расходов субъектов предпринимательской и иной экономической деятельности, связанных с необходимостью соблюдения установленных обязанностей либо изменением содержания таких обязанностей: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 заключения договора на размещение нестационарного торгового объекта на землях или земельном участке,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 - Кузбасса, без предоставления земельного участка и установления сервитута возникают обязанности арендной платы.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14. Предполагаемая дата вступления в силу проекта акта,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u w:val="none"/>
              </w:rPr>
              <w:t>необходимость установления переходных положений (переходного периода): 20.07.2026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color w:val="000000"/>
                <w:u w:val="non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u w:val="none"/>
              </w:rPr>
              <w:t>15. Риски решения проблемы предложенным способом регулирования и риски негативных последствий: отсутствует.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color w:val="000000"/>
                <w:u w:val="non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u w:val="none"/>
              </w:rPr>
              <w:t>16. Описание методов контроля эф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color w:val="000000"/>
                <w:sz w:val="28"/>
                <w:szCs w:val="28"/>
                <w:u w:val="none"/>
              </w:rPr>
              <w:t>фективности избранного способа достижения цели регулирования: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color w:val="000000"/>
                <w:u w:val="non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u w:val="none"/>
              </w:rPr>
              <w:t>16.1. Организационно-технические, методологические, информационные и иные мероприятия, необходимые для достижения заявленных целей регулирования: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color w:val="000000"/>
                <w:u w:val="non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u w:val="none"/>
              </w:rPr>
              <w:t>17. Индикативные показатели, программы мониторинга и иные способы (методы) оценки достижения заявленных целей регулирования: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color w:val="000000"/>
                <w:u w:val="non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u w:val="none"/>
              </w:rPr>
              <w:t>17.1. Сроки достижения индикативных показателей: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color w:val="000000"/>
                <w:u w:val="non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u w:val="none"/>
              </w:rPr>
              <w:t>18. Предполагаемая дата вступления в силу проекта правового акта, необходимость установления переходных положений (переходного периода) 20.07.2026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color w:val="000000"/>
                <w:u w:val="non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u w:val="none"/>
              </w:rPr>
              <w:t>19. Сведения о результатах публичного обсуждения &lt;1&gt;: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color w:val="000000"/>
                <w:u w:val="none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u w:val="none"/>
              </w:rPr>
              <w:t>19.1. Сроки публичного обсуждения:07.05.2026 -28.05.2026.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19.2. Лица, организации, представившие предложения: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субъекты малого или среднего предпринимательства.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20. Иные сведения, которые, по мнению органа-разработчика, позволяют оценить обоснованность предлагаемого регулирования:-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358" w:type="dxa"/>
            <w:gridSpan w:val="2"/>
            <w:tcBorders/>
          </w:tcPr>
          <w:p>
            <w:pPr>
              <w:pStyle w:val="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before="0" w:after="1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b6356e"/>
    <w:rPr>
      <w:color w:themeColor="hyperlink" w:val="0563C1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93666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9366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Application>LibreOffice/24.8.4.2$Linux_X86_64 LibreOffice_project/480$Build-2</Application>
  <AppVersion>15.0000</AppVersion>
  <Pages>3</Pages>
  <Words>673</Words>
  <Characters>5390</Characters>
  <CharactersWithSpaces>6013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2025-08-01T00:54:00Z</dcterms:created>
  <dc:creator>User</dc:creator>
  <dc:description/>
  <dc:language>ru-RU</dc:language>
  <cp:lastModifiedBy/>
  <cp:lastPrinted>2026-01-13T16:44:03Z</cp:lastPrinted>
  <dcterms:modified xsi:type="dcterms:W3CDTF">2026-05-06T09:55:26Z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